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F6DF7" w14:textId="77777777" w:rsidR="007B7381" w:rsidRDefault="00775016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>ПЕРЕЧЕНЬ</w:t>
      </w:r>
    </w:p>
    <w:p w14:paraId="1A4BEC1B" w14:textId="6DAD8433" w:rsidR="00696772" w:rsidRPr="00905E48" w:rsidRDefault="00775016" w:rsidP="00696772">
      <w:pPr>
        <w:jc w:val="both"/>
        <w:rPr>
          <w:b/>
        </w:rPr>
      </w:pPr>
      <w:r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 внесении изменений в решение Думы Артемовского городского округа </w:t>
      </w:r>
      <w:r w:rsidR="00312AFB" w:rsidRPr="00F54905">
        <w:rPr>
          <w:b/>
          <w:szCs w:val="24"/>
        </w:rPr>
        <w:t xml:space="preserve">от </w:t>
      </w:r>
      <w:r w:rsidR="00696772" w:rsidRPr="00905E48">
        <w:rPr>
          <w:b/>
        </w:rPr>
        <w:t xml:space="preserve">28.09.2020 № 502 «О Положении о наставничестве в Думе Артемовского городского округа и контрольно-счетной палате Артемовского городского округа» (в ред. решения Думы Артемовского городского округа от 27.04.2023 № 120) </w:t>
      </w:r>
    </w:p>
    <w:p w14:paraId="446BD7BF" w14:textId="44A6E2F7" w:rsidR="00312AFB" w:rsidRDefault="00312AFB" w:rsidP="00312AFB">
      <w:pPr>
        <w:ind w:firstLine="708"/>
        <w:jc w:val="both"/>
        <w:rPr>
          <w:b/>
        </w:rPr>
      </w:pPr>
    </w:p>
    <w:p w14:paraId="41282A9E" w14:textId="23F3D8DC" w:rsidR="006E0653" w:rsidRPr="00F54905" w:rsidRDefault="006E0653" w:rsidP="006E0653">
      <w:pPr>
        <w:ind w:firstLine="708"/>
        <w:jc w:val="both"/>
        <w:rPr>
          <w:b/>
        </w:rPr>
      </w:pPr>
    </w:p>
    <w:p w14:paraId="21772EBF" w14:textId="514DCF48" w:rsidR="007B7381" w:rsidRDefault="007B7381">
      <w:pPr>
        <w:jc w:val="both"/>
        <w:rPr>
          <w:b/>
          <w:bCs/>
          <w:szCs w:val="24"/>
        </w:rPr>
      </w:pPr>
    </w:p>
    <w:p w14:paraId="1E928982" w14:textId="77777777" w:rsidR="007B7381" w:rsidRDefault="007B7381">
      <w:pPr>
        <w:ind w:right="143"/>
        <w:jc w:val="center"/>
        <w:rPr>
          <w:b/>
          <w:bCs/>
          <w:szCs w:val="24"/>
        </w:rPr>
      </w:pPr>
    </w:p>
    <w:p w14:paraId="48712F8D" w14:textId="64667626" w:rsidR="007B7381" w:rsidRPr="00312AFB" w:rsidRDefault="00775016" w:rsidP="00312AFB">
      <w:pPr>
        <w:spacing w:line="360" w:lineRule="auto"/>
        <w:ind w:firstLine="708"/>
        <w:jc w:val="both"/>
        <w:rPr>
          <w:szCs w:val="24"/>
        </w:rPr>
      </w:pPr>
      <w:r w:rsidRPr="00312AFB">
        <w:rPr>
          <w:szCs w:val="24"/>
        </w:rPr>
        <w:t xml:space="preserve">В связи с принятием проекта решения Думы Артемовского городского округа «О внесении изменений в решение Думы Артемовского городского округа </w:t>
      </w:r>
      <w:r w:rsidR="00312AFB" w:rsidRPr="00312AFB">
        <w:rPr>
          <w:szCs w:val="24"/>
        </w:rPr>
        <w:t xml:space="preserve">от </w:t>
      </w:r>
      <w:r w:rsidR="00696772" w:rsidRPr="0018314C">
        <w:t xml:space="preserve">28.09.2020 № 502 «О Положении о наставничестве в Думе Артемовского городского округа и контрольно-счетной палате Артемовского городского округа» (в ред. решения Думы Артемовского городского округа от 27.04.2023 № 120) </w:t>
      </w:r>
      <w:bookmarkStart w:id="0" w:name="_GoBack"/>
      <w:bookmarkEnd w:id="0"/>
      <w:r w:rsidRPr="00312AFB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14:paraId="05F530CE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69583B76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2DF5E903" w14:textId="77777777" w:rsidR="007B7381" w:rsidRDefault="007B7381">
      <w:pPr>
        <w:ind w:right="143"/>
        <w:jc w:val="both"/>
        <w:rPr>
          <w:szCs w:val="24"/>
        </w:rPr>
      </w:pPr>
    </w:p>
    <w:sectPr w:rsidR="007B7381">
      <w:headerReference w:type="even" r:id="rId6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091D9" w14:textId="77777777" w:rsidR="008F0A98" w:rsidRDefault="008F0A98">
      <w:r>
        <w:separator/>
      </w:r>
    </w:p>
  </w:endnote>
  <w:endnote w:type="continuationSeparator" w:id="0">
    <w:p w14:paraId="686F6899" w14:textId="77777777" w:rsidR="008F0A98" w:rsidRDefault="008F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DE833" w14:textId="77777777" w:rsidR="008F0A98" w:rsidRDefault="008F0A98">
      <w:r>
        <w:separator/>
      </w:r>
    </w:p>
  </w:footnote>
  <w:footnote w:type="continuationSeparator" w:id="0">
    <w:p w14:paraId="26437A8D" w14:textId="77777777" w:rsidR="008F0A98" w:rsidRDefault="008F0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B85C8" w14:textId="77777777" w:rsidR="007B7381" w:rsidRDefault="00775016">
    <w:pPr>
      <w:pStyle w:val="ae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121698" w14:textId="77777777" w:rsidR="007B7381" w:rsidRDefault="007B738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D41FF"/>
    <w:rsid w:val="00223BA2"/>
    <w:rsid w:val="00234FF2"/>
    <w:rsid w:val="00270DDE"/>
    <w:rsid w:val="00312AFB"/>
    <w:rsid w:val="00367D7E"/>
    <w:rsid w:val="003B6639"/>
    <w:rsid w:val="00441A1B"/>
    <w:rsid w:val="004950E4"/>
    <w:rsid w:val="004C6F1B"/>
    <w:rsid w:val="005A47DD"/>
    <w:rsid w:val="00612BAB"/>
    <w:rsid w:val="00623729"/>
    <w:rsid w:val="00696772"/>
    <w:rsid w:val="006D350B"/>
    <w:rsid w:val="006E0653"/>
    <w:rsid w:val="00710FE6"/>
    <w:rsid w:val="00716C82"/>
    <w:rsid w:val="00762504"/>
    <w:rsid w:val="00775016"/>
    <w:rsid w:val="007B7381"/>
    <w:rsid w:val="008F0A98"/>
    <w:rsid w:val="00925D01"/>
    <w:rsid w:val="00A266BD"/>
    <w:rsid w:val="00A42AFB"/>
    <w:rsid w:val="00AB6647"/>
    <w:rsid w:val="00BF3239"/>
    <w:rsid w:val="00BF561E"/>
    <w:rsid w:val="00F654F3"/>
    <w:rsid w:val="00FD6C3A"/>
    <w:rsid w:val="4958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E3037-12F0-4FE4-8829-6A10F6FA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Hyperlink"/>
    <w:uiPriority w:val="99"/>
    <w:semiHidden/>
    <w:unhideWhenUsed/>
    <w:qFormat/>
    <w:rPr>
      <w:color w:val="0000FF"/>
      <w:u w:val="single"/>
    </w:rPr>
  </w:style>
  <w:style w:type="character" w:styleId="a7">
    <w:name w:val="page number"/>
    <w:qFormat/>
    <w:rPr>
      <w:rFonts w:cs="Times New Roman"/>
    </w:rPr>
  </w:style>
  <w:style w:type="character" w:styleId="a8">
    <w:name w:val="Strong"/>
    <w:uiPriority w:val="22"/>
    <w:qFormat/>
    <w:rPr>
      <w:b/>
      <w:bCs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Cs w:val="24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  <w:rPr>
      <w:szCs w:val="24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table" w:styleId="af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 Spacing"/>
    <w:uiPriority w:val="1"/>
    <w:qFormat/>
    <w:rPr>
      <w:rFonts w:cs="Times New Roman"/>
      <w:sz w:val="22"/>
      <w:szCs w:val="22"/>
      <w:lang w:eastAsia="en-US"/>
    </w:rPr>
  </w:style>
  <w:style w:type="character" w:customStyle="1" w:styleId="af2">
    <w:name w:val="Название Знак"/>
    <w:link w:val="af1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c">
    <w:name w:val="Выделенная цитата Знак"/>
    <w:link w:val="afb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d">
    <w:name w:val="Текст сноски Знак"/>
    <w:link w:val="ac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rFonts w:cs="Times New Roman"/>
      <w:lang w:eastAsia="zh-CN"/>
    </w:rPr>
  </w:style>
  <w:style w:type="character" w:customStyle="1" w:styleId="30">
    <w:name w:val="Заголовок 3 Знак"/>
    <w:link w:val="3"/>
    <w:uiPriority w:val="9"/>
    <w:qFormat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f">
    <w:name w:val="Верхний колонтитул Знак"/>
    <w:link w:val="ae"/>
    <w:uiPriority w:val="99"/>
    <w:qFormat/>
    <w:rPr>
      <w:sz w:val="22"/>
      <w:szCs w:val="22"/>
      <w:lang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qFormat/>
    <w:pPr>
      <w:widowControl w:val="0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qFormat/>
    <w:rPr>
      <w:rFonts w:ascii="Courier New" w:hAnsi="Courier New" w:cs="Courier New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MS Mincho" w:hAnsi="Arial" w:cs="Arial"/>
    </w:rPr>
  </w:style>
  <w:style w:type="character" w:customStyle="1" w:styleId="af4">
    <w:name w:val="Нижний колонтитул Знак"/>
    <w:link w:val="af3"/>
    <w:uiPriority w:val="99"/>
    <w:semiHidden/>
    <w:qFormat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qFormat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qFormat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qFormat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fl1">
    <w:name w:val="fl1"/>
    <w:basedOn w:val="a0"/>
    <w:qFormat/>
  </w:style>
  <w:style w:type="paragraph" w:customStyle="1" w:styleId="wp-caption-text">
    <w:name w:val="wp-caption-text"/>
    <w:basedOn w:val="a"/>
    <w:qFormat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25</cp:revision>
  <cp:lastPrinted>2025-12-22T04:00:00Z</cp:lastPrinted>
  <dcterms:created xsi:type="dcterms:W3CDTF">2018-06-01T01:21:00Z</dcterms:created>
  <dcterms:modified xsi:type="dcterms:W3CDTF">2025-12-22T04:00:00Z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B3861E5E0C914CCCAED032049F87C385_12</vt:lpwstr>
  </property>
</Properties>
</file>